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>Supplemental Figure S1</w:t>
      </w:r>
    </w:p>
    <w:p>
      <w:pPr>
        <w:rPr>
          <w:sz w:val="24"/>
          <w:lang w:val="en-US"/>
        </w:rPr>
      </w:pPr>
    </w:p>
    <w:p>
      <w:pPr>
        <w:spacing w:after="0" w:line="480" w:lineRule="auto"/>
        <w:jc w:val="both"/>
        <w:rPr>
          <w:rFonts w:cstheme="minorHAnsi"/>
          <w:lang w:val="en-US"/>
        </w:rPr>
      </w:pPr>
      <w:r>
        <w:rPr>
          <w:rFonts w:cstheme="minorHAnsi"/>
          <w:noProof/>
          <w:lang w:val="en-US"/>
        </w:rPr>
        <w:drawing>
          <wp:inline distT="0" distB="0" distL="0" distR="0">
            <wp:extent cx="4717914" cy="6180833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7914" cy="6180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both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Fig S1: Origin of viral isolates included in this study.</w:t>
      </w:r>
    </w:p>
    <w:p>
      <w:pPr>
        <w:jc w:val="both"/>
        <w:rPr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(A) Type1/2 classification and geographical origin of EBV strains included in this analysis. Depicted is the number of viral isolates from different geographical regions and their</w:t>
      </w:r>
      <w:r>
        <w:rPr>
          <w:sz w:val="20"/>
          <w:szCs w:val="20"/>
          <w:lang w:val="en-US"/>
        </w:rPr>
        <w:t xml:space="preserve"> classification as type 1 or type 2. Due to recombination events or incomplete sequence information, some viral isolates could not be subtyped. (B) </w:t>
      </w:r>
      <w:r>
        <w:rPr>
          <w:rFonts w:cstheme="minorHAnsi"/>
          <w:sz w:val="20"/>
          <w:szCs w:val="20"/>
          <w:lang w:val="en-US"/>
        </w:rPr>
        <w:t xml:space="preserve">Geographical provenience of the analyzed EBV strains and tissue samples from which they were isolated. </w:t>
      </w:r>
      <w:r>
        <w:rPr>
          <w:sz w:val="20"/>
          <w:szCs w:val="20"/>
          <w:lang w:val="en-US"/>
        </w:rPr>
        <w:t xml:space="preserve">NPC, nasopharyngeal carcinoma; GC, gastric carcinoma; LC, lung cancer; BL, </w:t>
      </w:r>
      <w:proofErr w:type="spellStart"/>
      <w:r>
        <w:rPr>
          <w:sz w:val="20"/>
          <w:szCs w:val="20"/>
          <w:lang w:val="en-US"/>
        </w:rPr>
        <w:t>Burkitt</w:t>
      </w:r>
      <w:proofErr w:type="spellEnd"/>
      <w:r>
        <w:rPr>
          <w:sz w:val="20"/>
          <w:szCs w:val="20"/>
          <w:lang w:val="en-US"/>
        </w:rPr>
        <w:t xml:space="preserve"> lymphoma; PTLD, post-transplant lymphoproliferative disease; HL, Hodgkin lymphoma; IM, infectious mononucleosis; </w:t>
      </w:r>
      <w:proofErr w:type="spellStart"/>
      <w:r>
        <w:rPr>
          <w:sz w:val="20"/>
          <w:szCs w:val="20"/>
          <w:lang w:val="en-US"/>
        </w:rPr>
        <w:t>sLCL</w:t>
      </w:r>
      <w:proofErr w:type="spellEnd"/>
      <w:r>
        <w:rPr>
          <w:sz w:val="20"/>
          <w:szCs w:val="20"/>
          <w:lang w:val="en-US"/>
        </w:rPr>
        <w:t xml:space="preserve">, spontaneous </w:t>
      </w:r>
      <w:proofErr w:type="spellStart"/>
      <w:r>
        <w:rPr>
          <w:sz w:val="20"/>
          <w:szCs w:val="20"/>
          <w:lang w:val="en-US"/>
        </w:rPr>
        <w:t>lymphoblastoid</w:t>
      </w:r>
      <w:proofErr w:type="spellEnd"/>
      <w:r>
        <w:rPr>
          <w:sz w:val="20"/>
          <w:szCs w:val="20"/>
          <w:lang w:val="en-US"/>
        </w:rPr>
        <w:t xml:space="preserve"> cell line. 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CEBBCE-20A7-4963-8BC9-F6A8C897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Mautner, Josef, Dr.</dc:creator>
  <cp:keywords/>
  <dc:description/>
  <cp:lastModifiedBy>Mautner, Josef, Dr.</cp:lastModifiedBy>
  <cp:revision>3</cp:revision>
  <dcterms:created xsi:type="dcterms:W3CDTF">2021-04-14T10:57:00Z</dcterms:created>
  <dcterms:modified xsi:type="dcterms:W3CDTF">2021-04-19T09:46:00Z</dcterms:modified>
</cp:coreProperties>
</file>